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BF6" w:rsidRPr="00EC23FA" w:rsidRDefault="00153E1E" w:rsidP="00343BF6">
      <w:pPr>
        <w:shd w:val="clear" w:color="auto" w:fill="B8CCE4" w:themeFill="accent1" w:themeFillTint="66"/>
        <w:jc w:val="center"/>
        <w:rPr>
          <w:rFonts w:asciiTheme="majorHAnsi" w:hAnsiTheme="majorHAnsi"/>
          <w:b/>
          <w:sz w:val="24"/>
          <w:szCs w:val="24"/>
          <w:lang w:val="en-GB"/>
        </w:rPr>
      </w:pPr>
      <w:bookmarkStart w:id="0" w:name="_GoBack"/>
      <w:bookmarkEnd w:id="0"/>
      <w:r>
        <w:rPr>
          <w:rFonts w:asciiTheme="majorHAnsi" w:hAnsiTheme="majorHAnsi"/>
          <w:b/>
          <w:color w:val="17365D" w:themeColor="text2" w:themeShade="BF"/>
          <w:sz w:val="24"/>
          <w:szCs w:val="24"/>
          <w:lang w:val="en-GB"/>
        </w:rPr>
        <w:t>Goal 4</w:t>
      </w:r>
      <w:r w:rsidR="00343BF6" w:rsidRPr="00EC23FA">
        <w:rPr>
          <w:rFonts w:asciiTheme="majorHAnsi" w:hAnsiTheme="majorHAnsi"/>
          <w:b/>
          <w:color w:val="17365D" w:themeColor="text2" w:themeShade="BF"/>
          <w:sz w:val="24"/>
          <w:szCs w:val="24"/>
          <w:lang w:val="en-GB"/>
        </w:rPr>
        <w:t xml:space="preserve">: </w:t>
      </w:r>
      <w:r w:rsidRPr="00153E1E">
        <w:rPr>
          <w:rFonts w:asciiTheme="majorHAnsi" w:hAnsiTheme="majorHAnsi"/>
          <w:b/>
          <w:color w:val="17365D" w:themeColor="text2" w:themeShade="BF"/>
          <w:sz w:val="24"/>
          <w:szCs w:val="24"/>
          <w:lang w:val="en-GB"/>
        </w:rPr>
        <w:t>Ensure inclusive and equitable quality education and promote lifelong learning opportunities for all</w:t>
      </w:r>
      <w:r w:rsidR="00343BF6" w:rsidRPr="00EC23FA">
        <w:rPr>
          <w:rFonts w:asciiTheme="majorHAnsi" w:hAnsiTheme="majorHAnsi"/>
          <w:b/>
          <w:color w:val="17365D" w:themeColor="text2" w:themeShade="BF"/>
          <w:sz w:val="24"/>
          <w:szCs w:val="24"/>
          <w:lang w:val="en-GB"/>
        </w:rPr>
        <w:t>.</w:t>
      </w:r>
    </w:p>
    <w:p w:rsidR="00343BF6" w:rsidRPr="00EC23FA" w:rsidRDefault="00153E1E" w:rsidP="00343BF6">
      <w:pPr>
        <w:shd w:val="clear" w:color="auto" w:fill="B8CCE4" w:themeFill="accent1" w:themeFillTint="66"/>
        <w:jc w:val="both"/>
        <w:rPr>
          <w:rFonts w:asciiTheme="majorHAnsi" w:hAnsiTheme="majorHAnsi"/>
          <w:b/>
          <w:color w:val="365F91" w:themeColor="accent1" w:themeShade="BF"/>
          <w:sz w:val="24"/>
          <w:szCs w:val="24"/>
          <w:lang w:val="en-GB"/>
        </w:rPr>
      </w:pPr>
      <w:r>
        <w:rPr>
          <w:rFonts w:asciiTheme="majorHAnsi" w:hAnsiTheme="majorHAnsi"/>
          <w:b/>
          <w:color w:val="365F91" w:themeColor="accent1" w:themeShade="BF"/>
          <w:sz w:val="24"/>
          <w:szCs w:val="24"/>
          <w:lang w:val="en-GB"/>
        </w:rPr>
        <w:t>Target 4.4</w:t>
      </w:r>
      <w:r w:rsidR="00343BF6" w:rsidRPr="00EC23FA">
        <w:rPr>
          <w:rFonts w:asciiTheme="majorHAnsi" w:hAnsiTheme="majorHAnsi"/>
          <w:b/>
          <w:color w:val="365F91" w:themeColor="accent1" w:themeShade="BF"/>
          <w:sz w:val="24"/>
          <w:szCs w:val="24"/>
          <w:lang w:val="en-GB"/>
        </w:rPr>
        <w:t xml:space="preserve">: </w:t>
      </w:r>
      <w:r w:rsidRPr="00153E1E">
        <w:rPr>
          <w:rFonts w:asciiTheme="majorHAnsi" w:hAnsiTheme="majorHAnsi"/>
          <w:b/>
          <w:color w:val="365F91" w:themeColor="accent1" w:themeShade="BF"/>
          <w:sz w:val="24"/>
          <w:szCs w:val="24"/>
          <w:lang w:val="en-GB"/>
        </w:rPr>
        <w:t>By 2030, increase by [x] per cent the number of youth and adults who have relevant skills, including technical and vocational skills, for employment, decent jobs and entrepreneurship</w:t>
      </w:r>
      <w:r w:rsidR="00343BF6" w:rsidRPr="00EC23FA">
        <w:rPr>
          <w:rFonts w:asciiTheme="majorHAnsi" w:hAnsiTheme="majorHAnsi"/>
          <w:b/>
          <w:color w:val="365F91" w:themeColor="accent1" w:themeShade="BF"/>
          <w:sz w:val="24"/>
          <w:szCs w:val="24"/>
          <w:lang w:val="en-GB"/>
        </w:rPr>
        <w:t>.</w:t>
      </w:r>
    </w:p>
    <w:p w:rsidR="00D53CFB" w:rsidRPr="00EC23FA" w:rsidRDefault="00D53CFB" w:rsidP="00153E1E">
      <w:pPr>
        <w:spacing w:before="240"/>
        <w:jc w:val="both"/>
        <w:rPr>
          <w:rFonts w:asciiTheme="majorHAnsi" w:hAnsiTheme="majorHAnsi" w:cs="Times New Roman"/>
          <w:b/>
          <w:sz w:val="24"/>
          <w:lang w:val="en-GB"/>
        </w:rPr>
      </w:pPr>
      <w:r w:rsidRPr="00EC23FA">
        <w:rPr>
          <w:rFonts w:asciiTheme="majorHAnsi" w:hAnsiTheme="majorHAnsi" w:cs="Times New Roman"/>
          <w:b/>
          <w:sz w:val="24"/>
          <w:lang w:val="en-GB"/>
        </w:rPr>
        <w:t>Indicator 4.4.2: Skills mismatch index.</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Definition and method of computation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The indicator on skills mismatch between supply of labour and demand for labour is presented in the form of an index of dissimilarity based on the differences in the shares of educational attainment of the employed in comparison with the unemployed. This index captures one dimension of mismatch, namely mismatch between skills demand (defined by the skills of the employed) and skills supply (defined by the skills of the unemployed), both </w:t>
      </w:r>
      <w:proofErr w:type="spellStart"/>
      <w:r w:rsidRPr="00EC23FA">
        <w:rPr>
          <w:rFonts w:asciiTheme="majorHAnsi" w:hAnsiTheme="majorHAnsi" w:cs="Times New Roman"/>
          <w:lang w:val="en-GB"/>
        </w:rPr>
        <w:t>proxied</w:t>
      </w:r>
      <w:proofErr w:type="spellEnd"/>
      <w:r w:rsidRPr="00EC23FA">
        <w:rPr>
          <w:rFonts w:asciiTheme="majorHAnsi" w:hAnsiTheme="majorHAnsi" w:cs="Times New Roman"/>
          <w:lang w:val="en-GB"/>
        </w:rPr>
        <w:t xml:space="preserve"> by level of educational attainment.</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Rationale and interpretation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Research suggests that mismatch between jobs held by workers and the qualifications they possess </w:t>
      </w:r>
      <w:proofErr w:type="gramStart"/>
      <w:r w:rsidRPr="00EC23FA">
        <w:rPr>
          <w:rFonts w:asciiTheme="majorHAnsi" w:hAnsiTheme="majorHAnsi" w:cs="Times New Roman"/>
          <w:lang w:val="en-GB"/>
        </w:rPr>
        <w:t>has</w:t>
      </w:r>
      <w:proofErr w:type="gramEnd"/>
      <w:r w:rsidRPr="00EC23FA">
        <w:rPr>
          <w:rFonts w:asciiTheme="majorHAnsi" w:hAnsiTheme="majorHAnsi" w:cs="Times New Roman"/>
          <w:lang w:val="en-GB"/>
        </w:rPr>
        <w:t xml:space="preserve"> negative consequences for workers, enterprises and the economy. For example, overqualified workers are less satisfied with their job then the well-matched, which in turn is likely to affect productivity. Also they are more likely to engage in job search and therefore add to turnover of staff. At the macroeconomic level, skills mismatch may raise unemployment rates, reduce labour market flexibility and reduce output and productivity growth.</w:t>
      </w:r>
    </w:p>
    <w:p w:rsidR="006C282B" w:rsidRPr="00EC23FA" w:rsidRDefault="006C282B" w:rsidP="006C282B">
      <w:pPr>
        <w:jc w:val="both"/>
        <w:rPr>
          <w:rFonts w:asciiTheme="majorHAnsi" w:hAnsiTheme="majorHAnsi" w:cs="Times New Roman"/>
          <w:b/>
          <w:lang w:val="en-GB"/>
        </w:rPr>
      </w:pPr>
      <w:r>
        <w:rPr>
          <w:rFonts w:asciiTheme="majorHAnsi" w:hAnsiTheme="majorHAnsi" w:cs="Times New Roman"/>
          <w:b/>
          <w:lang w:val="en-GB"/>
        </w:rPr>
        <w:t>Sources and data collection</w:t>
      </w:r>
    </w:p>
    <w:p w:rsidR="006C282B" w:rsidRDefault="006C282B" w:rsidP="00EC23FA">
      <w:pPr>
        <w:jc w:val="both"/>
        <w:rPr>
          <w:rFonts w:asciiTheme="majorHAnsi" w:hAnsiTheme="majorHAnsi" w:cs="Times New Roman"/>
          <w:b/>
          <w:lang w:val="en-GB"/>
        </w:rPr>
      </w:pPr>
      <w:r w:rsidRPr="006C282B">
        <w:rPr>
          <w:rFonts w:asciiTheme="majorHAnsi" w:hAnsiTheme="majorHAnsi" w:cs="Times New Roman"/>
          <w:lang w:val="en-GB"/>
        </w:rPr>
        <w:t xml:space="preserve">Household surveys (LFS, HIES, LSMS, Integrated HH surveys, etc.). </w:t>
      </w:r>
      <w:proofErr w:type="gramStart"/>
      <w:r w:rsidRPr="006C282B">
        <w:rPr>
          <w:rFonts w:asciiTheme="majorHAnsi" w:hAnsiTheme="majorHAnsi" w:cs="Times New Roman"/>
          <w:lang w:val="en-GB"/>
        </w:rPr>
        <w:t>Currently calculations only available based on European LFS.</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Disaggregation</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 xml:space="preserve">Data are available by </w:t>
      </w:r>
      <w:r w:rsidR="0044596C">
        <w:rPr>
          <w:rFonts w:asciiTheme="majorHAnsi" w:hAnsiTheme="majorHAnsi" w:cs="Times New Roman"/>
          <w:lang w:val="en-GB"/>
        </w:rPr>
        <w:t>sex</w:t>
      </w:r>
      <w:r w:rsidRPr="00EC23FA">
        <w:rPr>
          <w:rFonts w:asciiTheme="majorHAnsi" w:hAnsiTheme="majorHAnsi" w:cs="Times New Roman"/>
          <w:lang w:val="en-GB"/>
        </w:rPr>
        <w:t xml:space="preserve"> and age (youth and adults).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Comments and limitations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There is no internationally agreed method to measure skills mismatch. Skills mismatch is an encompassing term which refers to various types of imbalances between skills offered and skills needed in the world of work, and it applies equally to the employed and the unemployed. Furthermore, in most countries skills and competencies per se are not measured by regular statistical programmes. That is why skill proxies are used, such as qualifications, years of schooling and occupations. Moreover, data available is currently limited to European countries.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Gender equality issues</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lastRenderedPageBreak/>
        <w:t>As this indicator is disaggregated by sex, it is well-suited for analysis of gender equality issues.</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Data for global and regional monitoring</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 does not currently produce global and regional estimates for skills mismatch.</w:t>
      </w:r>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Responsible entities</w:t>
      </w:r>
    </w:p>
    <w:p w:rsidR="00D53CFB" w:rsidRPr="00EC23FA" w:rsidRDefault="00D53CFB" w:rsidP="00EC23FA">
      <w:pPr>
        <w:jc w:val="both"/>
        <w:rPr>
          <w:rFonts w:asciiTheme="majorHAnsi" w:hAnsiTheme="majorHAnsi" w:cs="Times New Roman"/>
          <w:lang w:val="en-GB"/>
        </w:rPr>
      </w:pPr>
      <w:proofErr w:type="gramStart"/>
      <w:r w:rsidRPr="00EC23FA">
        <w:rPr>
          <w:rFonts w:asciiTheme="majorHAnsi" w:hAnsiTheme="majorHAnsi" w:cs="Times New Roman"/>
          <w:lang w:val="en-GB"/>
        </w:rPr>
        <w:t>ILO.</w:t>
      </w:r>
      <w:proofErr w:type="gramEnd"/>
    </w:p>
    <w:p w:rsidR="00D53CFB" w:rsidRPr="00EC23FA" w:rsidRDefault="00D53CFB" w:rsidP="00EC23FA">
      <w:pPr>
        <w:jc w:val="both"/>
        <w:rPr>
          <w:rFonts w:asciiTheme="majorHAnsi" w:hAnsiTheme="majorHAnsi" w:cs="Times New Roman"/>
          <w:b/>
          <w:lang w:val="en-GB"/>
        </w:rPr>
      </w:pPr>
      <w:r w:rsidRPr="00EC23FA">
        <w:rPr>
          <w:rFonts w:asciiTheme="majorHAnsi" w:hAnsiTheme="majorHAnsi" w:cs="Times New Roman"/>
          <w:b/>
          <w:lang w:val="en-GB"/>
        </w:rPr>
        <w:t>Current data availability</w:t>
      </w:r>
    </w:p>
    <w:p w:rsidR="00D53CFB" w:rsidRPr="00EC23FA" w:rsidRDefault="00D53CFB" w:rsidP="00EC23FA">
      <w:pPr>
        <w:jc w:val="both"/>
        <w:rPr>
          <w:rFonts w:asciiTheme="majorHAnsi" w:hAnsiTheme="majorHAnsi" w:cs="Times New Roman"/>
          <w:lang w:val="en-GB"/>
        </w:rPr>
      </w:pPr>
      <w:r w:rsidRPr="00EC23FA">
        <w:rPr>
          <w:rFonts w:asciiTheme="majorHAnsi" w:hAnsiTheme="majorHAnsi" w:cs="Times New Roman"/>
          <w:lang w:val="en-GB"/>
        </w:rPr>
        <w:t>The ILO's skills mismatch index is available for 33 countries.</w:t>
      </w:r>
    </w:p>
    <w:sectPr w:rsidR="00D53CFB" w:rsidRPr="00EC23F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584F" w:rsidRDefault="00E9584F" w:rsidP="00F904C6">
      <w:pPr>
        <w:spacing w:after="0" w:line="240" w:lineRule="auto"/>
      </w:pPr>
      <w:r>
        <w:separator/>
      </w:r>
    </w:p>
  </w:endnote>
  <w:endnote w:type="continuationSeparator" w:id="0">
    <w:p w:rsidR="00E9584F" w:rsidRDefault="00E9584F" w:rsidP="00F90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584F" w:rsidRDefault="00E9584F" w:rsidP="00F904C6">
      <w:pPr>
        <w:spacing w:after="0" w:line="240" w:lineRule="auto"/>
      </w:pPr>
      <w:r>
        <w:separator/>
      </w:r>
    </w:p>
  </w:footnote>
  <w:footnote w:type="continuationSeparator" w:id="0">
    <w:p w:rsidR="00E9584F" w:rsidRDefault="00E9584F" w:rsidP="00F904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573B91"/>
    <w:multiLevelType w:val="hybridMultilevel"/>
    <w:tmpl w:val="AE5EF52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3CFB"/>
    <w:rsid w:val="00010204"/>
    <w:rsid w:val="00057467"/>
    <w:rsid w:val="001051CE"/>
    <w:rsid w:val="001125FD"/>
    <w:rsid w:val="001326F0"/>
    <w:rsid w:val="00153E1E"/>
    <w:rsid w:val="00196DEE"/>
    <w:rsid w:val="00256465"/>
    <w:rsid w:val="00334B0C"/>
    <w:rsid w:val="00337C63"/>
    <w:rsid w:val="00343BF6"/>
    <w:rsid w:val="00396BC8"/>
    <w:rsid w:val="003B13C3"/>
    <w:rsid w:val="0044596C"/>
    <w:rsid w:val="004A22C8"/>
    <w:rsid w:val="004A6F44"/>
    <w:rsid w:val="006C282B"/>
    <w:rsid w:val="006D1861"/>
    <w:rsid w:val="00713166"/>
    <w:rsid w:val="0071577B"/>
    <w:rsid w:val="007935D6"/>
    <w:rsid w:val="00A508DF"/>
    <w:rsid w:val="00A525F3"/>
    <w:rsid w:val="00A9526B"/>
    <w:rsid w:val="00A9709F"/>
    <w:rsid w:val="00B242D0"/>
    <w:rsid w:val="00B266C5"/>
    <w:rsid w:val="00B90153"/>
    <w:rsid w:val="00C11562"/>
    <w:rsid w:val="00C218C5"/>
    <w:rsid w:val="00C50A29"/>
    <w:rsid w:val="00C541C5"/>
    <w:rsid w:val="00C82F2E"/>
    <w:rsid w:val="00D00452"/>
    <w:rsid w:val="00D24DAA"/>
    <w:rsid w:val="00D53CFB"/>
    <w:rsid w:val="00DC5E63"/>
    <w:rsid w:val="00E9584F"/>
    <w:rsid w:val="00EB368A"/>
    <w:rsid w:val="00EC23FA"/>
    <w:rsid w:val="00F267BA"/>
    <w:rsid w:val="00F904C6"/>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904C6"/>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904C6"/>
    <w:rPr>
      <w:rFonts w:ascii="Times New Roman" w:eastAsia="Times New Roman" w:hAnsi="Times New Roman" w:cs="Times New Roman"/>
      <w:b/>
      <w:bCs/>
      <w:sz w:val="36"/>
      <w:szCs w:val="36"/>
      <w:lang w:val="en-GB" w:eastAsia="en-GB"/>
    </w:rPr>
  </w:style>
  <w:style w:type="paragraph" w:styleId="FootnoteText">
    <w:name w:val="footnote text"/>
    <w:basedOn w:val="Normal"/>
    <w:link w:val="FootnoteTextChar"/>
    <w:uiPriority w:val="99"/>
    <w:semiHidden/>
    <w:unhideWhenUsed/>
    <w:rsid w:val="00F904C6"/>
    <w:pPr>
      <w:spacing w:after="0" w:line="240" w:lineRule="auto"/>
    </w:pPr>
    <w:rPr>
      <w:rFonts w:ascii="Calibri" w:hAnsi="Calibri" w:cs="Times New Roman"/>
      <w:sz w:val="20"/>
      <w:szCs w:val="20"/>
      <w:lang w:val="en-GB"/>
    </w:rPr>
  </w:style>
  <w:style w:type="character" w:customStyle="1" w:styleId="FootnoteTextChar">
    <w:name w:val="Footnote Text Char"/>
    <w:basedOn w:val="DefaultParagraphFont"/>
    <w:link w:val="FootnoteText"/>
    <w:uiPriority w:val="99"/>
    <w:semiHidden/>
    <w:rsid w:val="00F904C6"/>
    <w:rPr>
      <w:rFonts w:ascii="Calibri" w:hAnsi="Calibri" w:cs="Times New Roman"/>
      <w:sz w:val="20"/>
      <w:szCs w:val="20"/>
      <w:lang w:val="en-GB"/>
    </w:rPr>
  </w:style>
  <w:style w:type="character" w:styleId="FootnoteReference">
    <w:name w:val="footnote reference"/>
    <w:basedOn w:val="DefaultParagraphFont"/>
    <w:uiPriority w:val="99"/>
    <w:semiHidden/>
    <w:unhideWhenUsed/>
    <w:rsid w:val="00F904C6"/>
    <w:rPr>
      <w:vertAlign w:val="superscript"/>
    </w:rPr>
  </w:style>
  <w:style w:type="character" w:styleId="Strong">
    <w:name w:val="Strong"/>
    <w:basedOn w:val="DefaultParagraphFont"/>
    <w:uiPriority w:val="22"/>
    <w:qFormat/>
    <w:rsid w:val="00F904C6"/>
    <w:rPr>
      <w:b/>
      <w:bCs/>
    </w:rPr>
  </w:style>
  <w:style w:type="character" w:styleId="Hyperlink">
    <w:name w:val="Hyperlink"/>
    <w:basedOn w:val="DefaultParagraphFont"/>
    <w:uiPriority w:val="99"/>
    <w:unhideWhenUsed/>
    <w:rsid w:val="001125FD"/>
    <w:rPr>
      <w:color w:val="0000FF" w:themeColor="hyperlink"/>
      <w:u w:val="single"/>
    </w:rPr>
  </w:style>
  <w:style w:type="paragraph" w:styleId="ListParagraph">
    <w:name w:val="List Paragraph"/>
    <w:basedOn w:val="Normal"/>
    <w:uiPriority w:val="34"/>
    <w:qFormat/>
    <w:rsid w:val="00B242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389</Words>
  <Characters>2222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ILO</Company>
  <LinksUpToDate>false</LinksUpToDate>
  <CharactersWithSpaces>2606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gammarano</dc:creator>
  <cp:lastModifiedBy>Benjamin Rae</cp:lastModifiedBy>
  <cp:revision>2</cp:revision>
  <dcterms:created xsi:type="dcterms:W3CDTF">2015-05-19T19:07:00Z</dcterms:created>
  <dcterms:modified xsi:type="dcterms:W3CDTF">2015-05-19T19:07:00Z</dcterms:modified>
</cp:coreProperties>
</file>